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BD2C12" w:rsidP="009E681A">
                            <w:pPr>
                              <w:jc w:val="center"/>
                              <w:rPr>
                                <w:sz w:val="50"/>
                                <w:szCs w:val="50"/>
                              </w:rPr>
                            </w:pPr>
                            <w:r>
                              <w:rPr>
                                <w:sz w:val="50"/>
                                <w:szCs w:val="50"/>
                              </w:rPr>
                              <w:t>Team</w:t>
                            </w:r>
                            <w:r w:rsidR="00595D19">
                              <w:rPr>
                                <w:sz w:val="50"/>
                                <w:szCs w:val="50"/>
                              </w:rPr>
                              <w:t xml:space="preserve"> Racing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BD2C12" w:rsidP="009E681A">
                      <w:pPr>
                        <w:jc w:val="center"/>
                        <w:rPr>
                          <w:sz w:val="50"/>
                          <w:szCs w:val="50"/>
                        </w:rPr>
                      </w:pPr>
                      <w:r>
                        <w:rPr>
                          <w:sz w:val="50"/>
                          <w:szCs w:val="50"/>
                        </w:rPr>
                        <w:t>Team</w:t>
                      </w:r>
                      <w:r w:rsidR="00595D19">
                        <w:rPr>
                          <w:sz w:val="50"/>
                          <w:szCs w:val="50"/>
                        </w:rPr>
                        <w:t xml:space="preserve"> Racing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BD2C12">
        <w:rPr>
          <w:rFonts w:ascii="Arial" w:hAnsi="Arial" w:cs="Arial"/>
          <w:b/>
          <w:sz w:val="20"/>
          <w:u w:val="single"/>
        </w:rPr>
        <w:t>TEAM</w:t>
      </w:r>
      <w:r w:rsidR="00595D19">
        <w:rPr>
          <w:rFonts w:ascii="Arial" w:hAnsi="Arial" w:cs="Arial"/>
          <w:b/>
          <w:sz w:val="20"/>
          <w:u w:val="single"/>
        </w:rPr>
        <w:t xml:space="preserve"> RACING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B6425">
              <w:rPr>
                <w:rFonts w:ascii="Arial" w:hAnsi="Arial" w:cs="Arial"/>
                <w:sz w:val="20"/>
              </w:rPr>
            </w:r>
            <w:r w:rsidR="005B6425">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BD2C12">
        <w:rPr>
          <w:rFonts w:ascii="Arial" w:hAnsi="Arial" w:cs="Arial"/>
          <w:szCs w:val="18"/>
        </w:rPr>
        <w:t xml:space="preserve">Team </w:t>
      </w:r>
      <w:r w:rsidR="00595D19">
        <w:rPr>
          <w:rFonts w:ascii="Arial" w:hAnsi="Arial" w:cs="Arial"/>
          <w:szCs w:val="18"/>
        </w:rPr>
        <w:t>Racing 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BD2C12">
        <w:rPr>
          <w:rFonts w:ascii="Arial" w:hAnsi="Arial" w:cs="Arial"/>
          <w:szCs w:val="18"/>
        </w:rPr>
        <w:t>6.6.5</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BD2C12">
        <w:rPr>
          <w:rFonts w:ascii="Arial" w:hAnsi="Arial" w:cs="Arial"/>
          <w:szCs w:val="18"/>
        </w:rPr>
        <w:t xml:space="preserve">Team </w:t>
      </w:r>
      <w:r w:rsidR="00595D19">
        <w:rPr>
          <w:rFonts w:ascii="Arial" w:hAnsi="Arial" w:cs="Arial"/>
          <w:szCs w:val="18"/>
        </w:rPr>
        <w:t>Racing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BD2C12">
        <w:rPr>
          <w:rFonts w:ascii="Arial" w:hAnsi="Arial" w:cs="Arial"/>
          <w:szCs w:val="18"/>
        </w:rPr>
        <w:t>Team</w:t>
      </w:r>
      <w:bookmarkStart w:id="30" w:name="_GoBack"/>
      <w:bookmarkEnd w:id="30"/>
      <w:r w:rsidR="00595D19">
        <w:rPr>
          <w:rFonts w:ascii="Arial" w:hAnsi="Arial" w:cs="Arial"/>
          <w:szCs w:val="18"/>
        </w:rPr>
        <w:t xml:space="preserve"> Racing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425" w:rsidRDefault="005B6425">
      <w:r>
        <w:separator/>
      </w:r>
    </w:p>
  </w:endnote>
  <w:endnote w:type="continuationSeparator" w:id="0">
    <w:p w:rsidR="005B6425" w:rsidRDefault="005B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425" w:rsidRDefault="005B6425">
      <w:r>
        <w:separator/>
      </w:r>
    </w:p>
  </w:footnote>
  <w:footnote w:type="continuationSeparator" w:id="0">
    <w:p w:rsidR="005B6425" w:rsidRDefault="005B6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72CFC"/>
    <w:rsid w:val="00593F15"/>
    <w:rsid w:val="00595D19"/>
    <w:rsid w:val="00596946"/>
    <w:rsid w:val="00597C18"/>
    <w:rsid w:val="005A0B12"/>
    <w:rsid w:val="005B6425"/>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D6668-4F62-47B9-846F-C7AC9D1F5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8998</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2016-06-23T16:22:00Z</dcterms:created>
  <dcterms:modified xsi:type="dcterms:W3CDTF">2016-06-23T16:23:00Z</dcterms:modified>
</cp:coreProperties>
</file>